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F1C77">
        <w:rPr>
          <w:b/>
          <w:bCs/>
          <w:color w:val="002060"/>
          <w:sz w:val="20"/>
          <w:szCs w:val="20"/>
        </w:rPr>
        <w:t>4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 xml:space="preserve">Przyjmujemy, że uczeń spełnia wymagania na ocenę wyższą, jeśli spełnia jednocześnie wymagania na ocenę niższą oraz dodatkowe wymagania. </w:t>
      </w:r>
    </w:p>
    <w:p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6162D4" w:rsidRPr="00AA16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AA1658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AA1658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</w:t>
      </w:r>
      <w:r w:rsidR="005A2709">
        <w:rPr>
          <w:rFonts w:ascii="Calibri" w:hAnsi="Calibri" w:cs="Calibri"/>
          <w:i/>
          <w:iCs/>
          <w:color w:val="C65911"/>
          <w:sz w:val="20"/>
          <w:szCs w:val="20"/>
        </w:rPr>
        <w:t>wymagania na ocenę dostateczną i</w:t>
      </w:r>
      <w:r w:rsidRPr="00AA1658">
        <w:rPr>
          <w:rFonts w:ascii="Calibri" w:hAnsi="Calibri" w:cs="Calibri"/>
          <w:i/>
          <w:iCs/>
          <w:color w:val="C65911"/>
          <w:sz w:val="20"/>
          <w:szCs w:val="20"/>
        </w:rPr>
        <w:t xml:space="preserve"> dopuszczającą (R)</w:t>
      </w:r>
    </w:p>
    <w:p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6162D4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iCs/>
          <w:sz w:val="20"/>
          <w:szCs w:val="20"/>
        </w:rPr>
      </w:pPr>
    </w:p>
    <w:p w:rsidR="00267FF4" w:rsidRDefault="00267FF4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:rsidR="00A80BD4" w:rsidRDefault="00A80BD4" w:rsidP="00A80BD4">
      <w:pPr>
        <w:spacing w:after="0" w:line="360" w:lineRule="auto"/>
        <w:rPr>
          <w:color w:val="002060"/>
          <w:sz w:val="20"/>
          <w:szCs w:val="20"/>
        </w:rPr>
      </w:pPr>
    </w:p>
    <w:p w:rsidR="00EB6CAD" w:rsidRPr="004A65EC" w:rsidRDefault="00EB6CAD" w:rsidP="00A80BD4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4A65EC">
        <w:rPr>
          <w:b/>
          <w:bCs/>
          <w:color w:val="002060"/>
          <w:sz w:val="24"/>
          <w:szCs w:val="24"/>
        </w:rPr>
        <w:t>Uczeń powinien otrzymać ocenę: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dopuszczającą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40–60% wymagań podstawowych</w:t>
      </w:r>
      <w:r w:rsidR="00A80BD4" w:rsidRPr="00A80BD4">
        <w:rPr>
          <w:color w:val="002060"/>
          <w:sz w:val="20"/>
          <w:szCs w:val="20"/>
        </w:rPr>
        <w:t xml:space="preserve">, 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dostateczną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4A65EC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</w:t>
      </w:r>
      <w:r w:rsidR="00EB6CAD">
        <w:rPr>
          <w:color w:val="002060"/>
          <w:sz w:val="20"/>
          <w:szCs w:val="20"/>
        </w:rPr>
        <w:t xml:space="preserve">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60 % wymagań podstawowych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jeżeli</w:t>
      </w:r>
      <w:r w:rsidR="00A80BD4" w:rsidRPr="00A80BD4">
        <w:rPr>
          <w:color w:val="002060"/>
          <w:sz w:val="20"/>
          <w:szCs w:val="20"/>
        </w:rPr>
        <w:t xml:space="preserve"> opanował wiedzę i zdobył umiejętności stanowiące do </w:t>
      </w:r>
      <w:r w:rsidR="00A80BD4" w:rsidRPr="00A80BD4">
        <w:rPr>
          <w:color w:val="002060"/>
          <w:sz w:val="20"/>
          <w:szCs w:val="20"/>
          <w:u w:val="single"/>
        </w:rPr>
        <w:t>75% wymagań dopełniających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bardzo 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75% wymagań dopełniających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celującą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zawarte w </w:t>
      </w:r>
      <w:r w:rsidR="00A80BD4" w:rsidRPr="00A80BD4">
        <w:rPr>
          <w:color w:val="002060"/>
          <w:sz w:val="20"/>
          <w:szCs w:val="20"/>
          <w:u w:val="single"/>
        </w:rPr>
        <w:t>wymaganiach wykraczających</w:t>
      </w:r>
      <w:r w:rsidR="00A80BD4">
        <w:rPr>
          <w:color w:val="002060"/>
          <w:sz w:val="20"/>
          <w:szCs w:val="20"/>
          <w:u w:val="single"/>
        </w:rPr>
        <w:t>.</w:t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39213B" w:rsidRPr="006A4C58" w:rsidRDefault="0039213B" w:rsidP="0039213B">
      <w:pPr>
        <w:rPr>
          <w:rFonts w:ascii="Calibri" w:hAnsi="Calibri" w:cs="Calibri"/>
          <w:b/>
          <w:bCs/>
          <w:color w:val="002060"/>
          <w:sz w:val="28"/>
          <w:szCs w:val="28"/>
        </w:rPr>
      </w:pPr>
      <w:bookmarkStart w:id="0" w:name="_Hlk176256731"/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:rsidR="0039213B" w:rsidRDefault="0039213B" w:rsidP="0039213B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>żółtym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:rsidR="0039213B" w:rsidRPr="00A3699F" w:rsidRDefault="0039213B" w:rsidP="0039213B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D9D9D9" w:themeFill="background1" w:themeFillShade="D9"/>
        </w:rPr>
        <w:t>szarym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któr</w:t>
      </w:r>
      <w:r>
        <w:rPr>
          <w:rFonts w:ascii="Calibri" w:hAnsi="Calibri" w:cs="Calibri"/>
          <w:color w:val="002060"/>
          <w:sz w:val="20"/>
          <w:szCs w:val="20"/>
        </w:rPr>
        <w:t>e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przestał</w:t>
      </w:r>
      <w:r>
        <w:rPr>
          <w:rFonts w:ascii="Calibri" w:hAnsi="Calibri" w:cs="Calibri"/>
          <w:color w:val="002060"/>
          <w:sz w:val="20"/>
          <w:szCs w:val="20"/>
        </w:rPr>
        <w:t>y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obowiązywać.</w:t>
      </w:r>
    </w:p>
    <w:p w:rsidR="0039213B" w:rsidRPr="006A4C58" w:rsidRDefault="0039213B" w:rsidP="0039213B">
      <w:pPr>
        <w:rPr>
          <w:rFonts w:ascii="Calibri" w:hAnsi="Calibri" w:cs="Calibri"/>
          <w:color w:val="002060"/>
          <w:sz w:val="20"/>
          <w:szCs w:val="20"/>
          <w:u w:val="single"/>
        </w:rPr>
      </w:pPr>
    </w:p>
    <w:p w:rsidR="0039213B" w:rsidRPr="006A4C58" w:rsidRDefault="0039213B" w:rsidP="0039213B">
      <w:pPr>
        <w:pStyle w:val="Akapitzlist"/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bookmarkStart w:id="1" w:name="_Hlk176208302"/>
      <w:r w:rsidRPr="006A4C58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6A4C58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6A4C58">
        <w:rPr>
          <w:rFonts w:ascii="Calibri" w:hAnsi="Calibri" w:cs="Calibri"/>
          <w:color w:val="002060"/>
          <w:sz w:val="20"/>
          <w:szCs w:val="20"/>
        </w:rPr>
        <w:t xml:space="preserve"> są powtórzeniem z planu wynikowego </w:t>
      </w:r>
      <w:r w:rsidRPr="0039213B">
        <w:rPr>
          <w:rFonts w:ascii="Calibri" w:hAnsi="Calibri" w:cs="Calibri"/>
          <w:color w:val="002060"/>
          <w:sz w:val="20"/>
          <w:szCs w:val="20"/>
        </w:rPr>
        <w:t xml:space="preserve">klasy 1, 2 oraz 3, </w:t>
      </w:r>
      <w:r w:rsidRPr="006A4C58">
        <w:rPr>
          <w:rFonts w:ascii="Calibri" w:hAnsi="Calibri" w:cs="Calibri"/>
          <w:color w:val="002060"/>
          <w:sz w:val="20"/>
          <w:szCs w:val="20"/>
        </w:rPr>
        <w:t xml:space="preserve">zakres </w:t>
      </w:r>
      <w:r>
        <w:rPr>
          <w:rFonts w:ascii="Calibri" w:hAnsi="Calibri" w:cs="Calibri"/>
          <w:color w:val="002060"/>
          <w:sz w:val="20"/>
          <w:szCs w:val="20"/>
        </w:rPr>
        <w:t>podstawowy</w:t>
      </w:r>
      <w:r w:rsidRPr="006A4C58">
        <w:rPr>
          <w:rFonts w:ascii="Calibri" w:hAnsi="Calibri" w:cs="Calibri"/>
          <w:color w:val="002060"/>
          <w:sz w:val="20"/>
          <w:szCs w:val="20"/>
        </w:rPr>
        <w:t>.</w:t>
      </w:r>
      <w:bookmarkEnd w:id="1"/>
    </w:p>
    <w:bookmarkEnd w:id="0"/>
    <w:p w:rsidR="007350CC" w:rsidRDefault="007350CC">
      <w:pPr>
        <w:rPr>
          <w:color w:val="002060"/>
          <w:sz w:val="20"/>
          <w:szCs w:val="20"/>
          <w:u w:val="single"/>
        </w:rPr>
      </w:pPr>
    </w:p>
    <w:p w:rsidR="00212C99" w:rsidRPr="0051162B" w:rsidRDefault="002422CC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2" w:name="_Hlk15322564"/>
      <w:r>
        <w:rPr>
          <w:b/>
          <w:bCs/>
          <w:color w:val="002060"/>
          <w:sz w:val="28"/>
          <w:szCs w:val="28"/>
        </w:rPr>
        <w:lastRenderedPageBreak/>
        <w:t>FUNKCJA WYKŁADNICZA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C027D4" w:rsidRPr="006E7D5D" w:rsidTr="00C027D4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C027D4" w:rsidRDefault="00C027D4" w:rsidP="00C027D4">
            <w:pPr>
              <w:rPr>
                <w:color w:val="002060"/>
                <w:sz w:val="20"/>
                <w:szCs w:val="20"/>
              </w:rPr>
            </w:pPr>
            <w:r w:rsidRPr="00C027D4">
              <w:rPr>
                <w:color w:val="002060"/>
                <w:sz w:val="20"/>
                <w:szCs w:val="20"/>
              </w:rPr>
              <w:t>Potęga o wykładniku rzeczywistym – powtórzenie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wykładnicza i jej własności</w:t>
            </w:r>
          </w:p>
        </w:tc>
      </w:tr>
      <w:tr w:rsidR="00C027D4" w:rsidRPr="006E7D5D" w:rsidTr="0089676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Przekształcenia wykresów funkcji wykładniczych</w:t>
            </w:r>
          </w:p>
        </w:tc>
      </w:tr>
      <w:tr w:rsidR="00C027D4" w:rsidRPr="006E7D5D" w:rsidTr="0089676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wykładnicze</w:t>
            </w:r>
          </w:p>
        </w:tc>
      </w:tr>
      <w:tr w:rsidR="00C027D4" w:rsidRPr="006E7D5D" w:rsidTr="0089676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wykładnicze</w:t>
            </w:r>
          </w:p>
        </w:tc>
      </w:tr>
      <w:bookmarkEnd w:id="2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Pr="00121D3E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24"/>
        <w:gridCol w:w="5249"/>
      </w:tblGrid>
      <w:tr w:rsidR="000842B3" w:rsidRPr="000842B3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:rsidTr="007F47EF">
        <w:trPr>
          <w:tblHeader/>
          <w:jc w:val="center"/>
        </w:trPr>
        <w:tc>
          <w:tcPr>
            <w:tcW w:w="5524" w:type="dxa"/>
            <w:tcBorders>
              <w:bottom w:val="single" w:sz="4" w:space="0" w:color="auto"/>
            </w:tcBorders>
            <w:shd w:val="clear" w:color="000000" w:fill="00B0F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000000" w:fill="00B05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422CC" w:rsidRPr="000842B3" w:rsidTr="001808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18082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potrafi wykonywać działania na potęgach o wykładniku naturalnym, całkowitym i wymiernym;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1808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18082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prawa działań na potęgach o wykładnikach wymiernych </w:t>
            </w:r>
            <w:r w:rsidR="0018082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i stosuje je w obliczeniach;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1808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18082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zna pojęcie pierwiastka arytmetycznego z liczby nieujemnej</w:t>
            </w:r>
            <w:r w:rsidR="0018082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i potrafi stosować prawa działań na pierwiastkach w obliczeniach;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1808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18082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potrafi obliczać pierwiastki stopnia nieparzystego z liczb ujemnych;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wykonywać działania na potęgach o wykładniku rzeczywistym;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zapisać daną liczbę w postaci potęgi o wskazanej podstawie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własności działań na potęgach w rozwiązywaniu zadań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uprościć wyrażenia zawierające potęgi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wykładniczej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porównywać potęgi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wykładniczą od innych funkcji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opisać własności funkcji wykładniczej na podstawie jej wykresu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obliczać wartości funkcji dla danych argumentów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wzór funkcji wykładniczej w oparciu współrzędne punktu/punktów należących do wykresu funkcji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wykładniczych dla różnych podstaw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potrafi szkicować wykresy funkcji wykładniczych stosując przesunięcie równoległe o wektor </w:t>
            </w:r>
            <w:r w:rsidRPr="0089676D">
              <w:rPr>
                <w:rFonts w:ascii="Calibri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</w:rPr>
              <w:t>i symetrie względem osi układu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(złożenie przekształceń)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przekształcać wykresy funkcji wykładniczych </w:t>
            </w:r>
            <w:r w:rsidR="0018082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(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OX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 S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OY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 S(0,0)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przesunięcie równoległe o dany wektor)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szkicować wykresy funkcji wykładniczych stosując przesunięcie równoległe o wektor 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albo symetrie względem osi układu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równania wykładniczego oraz nierówności wykładniczej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rozwiązywać algebraicznie i graficznie proste równania oraz nierówności wykładnicze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0" w:type="dxa"/>
          <w:right w:w="0" w:type="dxa"/>
        </w:tblCellMar>
        <w:tblLook w:val="04A0"/>
      </w:tblPr>
      <w:tblGrid>
        <w:gridCol w:w="6820"/>
        <w:gridCol w:w="3953"/>
      </w:tblGrid>
      <w:tr w:rsidR="00B93C2A" w:rsidTr="00B93C2A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7F47EF" w:rsidTr="001808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>sprawnie przekształca wyrażenia algebraiczne zawierające potęgi i pierwiastki;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FF0000"/>
                <w:sz w:val="20"/>
                <w:szCs w:val="20"/>
              </w:rPr>
              <w:t>potrafi oszacować wartość potęgi o wykładniku rzeczywistym;</w:t>
            </w:r>
          </w:p>
        </w:tc>
      </w:tr>
      <w:tr w:rsidR="007F47EF" w:rsidTr="001808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sprawnie zamienia pierwiastki arytmetyczne na potęgi o wykładniku wymiernym </w:t>
            </w:r>
            <w:r w:rsidR="0018082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>i odwrotnie;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FF0000"/>
                <w:sz w:val="20"/>
                <w:szCs w:val="20"/>
              </w:rPr>
              <w:t>porównywać wyrażenia zawierające pierwiastki;</w:t>
            </w:r>
          </w:p>
        </w:tc>
      </w:tr>
      <w:tr w:rsidR="007F47EF" w:rsidTr="001808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>sprawnie wykonywać działania na potęgach o wykładniku rzeczywistym;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F47EF" w:rsidTr="001808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>potrafi wyłączać wspólną potęgę poza nawias;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1824B9" w:rsidTr="008967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wykładniczych z wartością bezwzględną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 nierówności wykładnicze stosując metodę podstawiania</w:t>
            </w: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interpretować graficznie równania wykładnicze z parametrem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zaznaczyć w układzie współrzędnych zbiory punktów opisane a pomocą nierówności wykładniczych </w:t>
            </w: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badać, na podstawie definicji, własności funkcji wykładniczych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zadania stosując własności funkcji wykładniczych </w:t>
            </w: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na dowodzenie  (o średnim stopniu trudności), </w:t>
            </w:r>
            <w:r w:rsidR="0018082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których wykorzystuje wiadomości dotyczące funkcji wykładniczej oraz potęg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rozwiązać równania oraz nierówności wykładnicze korzystając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z wykresów odpowiednich funkcji wykładniczych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równania i nierówności wykładnicze korzystając </w:t>
            </w:r>
            <w:r w:rsidR="0018082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z różnowartościowości/monotoniczności funkcji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B93C2A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7F47EF" w:rsidTr="008967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równania i nierówności wykładnicze z parametrem</w:t>
            </w:r>
          </w:p>
        </w:tc>
      </w:tr>
      <w:tr w:rsidR="007F47EF" w:rsidTr="007F47E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na dowodzenie (o podwyższonym stopniu trudności), w których wykorzystuje własności funkcji wykładniczych</w:t>
            </w:r>
          </w:p>
        </w:tc>
      </w:tr>
    </w:tbl>
    <w:p w:rsidR="000842B3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  <w:r w:rsidR="000842B3">
        <w:rPr>
          <w:b/>
          <w:bCs/>
          <w:color w:val="002060"/>
          <w:sz w:val="20"/>
          <w:szCs w:val="20"/>
        </w:rPr>
        <w:br w:type="page"/>
      </w: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p w:rsidR="001F0EA5" w:rsidRPr="0051162B" w:rsidRDefault="00303078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FUNKCJA LOGARYTMICZNA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C027D4" w:rsidRDefault="00C027D4" w:rsidP="00C027D4">
            <w:pPr>
              <w:rPr>
                <w:color w:val="002060"/>
                <w:sz w:val="20"/>
                <w:szCs w:val="20"/>
              </w:rPr>
            </w:pPr>
            <w:r w:rsidRPr="00C027D4">
              <w:rPr>
                <w:color w:val="002060"/>
                <w:sz w:val="20"/>
                <w:szCs w:val="20"/>
              </w:rPr>
              <w:t>Logarytm – powtórzenie wiadomości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logarytmiczna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Przekształcenie wykresów funkcji logarytmicznych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logarytmiczne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funkcji wykładniczej i funkcji logarytmicznej do rozwiązywania zadań umieszczonych w kontekście praktycznym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0D48D7" w:rsidRPr="000D48D7" w:rsidTr="00653BD8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:rsidTr="00C825A0">
        <w:trPr>
          <w:cantSplit/>
          <w:tblHeader/>
          <w:jc w:val="center"/>
        </w:trPr>
        <w:tc>
          <w:tcPr>
            <w:tcW w:w="5387" w:type="dxa"/>
            <w:tcBorders>
              <w:bottom w:val="single" w:sz="4" w:space="0" w:color="auto"/>
            </w:tcBorders>
            <w:shd w:val="clear" w:color="000000" w:fill="00B0F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000000" w:fill="00B05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D165F2" w:rsidRPr="000D48D7" w:rsidTr="003E45AD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305496"/>
                <w:sz w:val="20"/>
                <w:szCs w:val="20"/>
              </w:rPr>
              <w:t>zna definicję logarytmu i potrafi obliczać logarytmy bezpośrednio z definicji;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00B050"/>
                <w:sz w:val="20"/>
                <w:szCs w:val="20"/>
              </w:rPr>
              <w:t>potrafi wykonywać proste działania z wykorzystaniem twierdzenia o: logarytmie iloczynu, logarytmie ilorazu, logarytmie potęgi;</w:t>
            </w:r>
          </w:p>
        </w:tc>
      </w:tr>
      <w:tr w:rsidR="00D165F2" w:rsidRPr="000D48D7" w:rsidTr="003E45AD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305496"/>
                <w:sz w:val="20"/>
                <w:szCs w:val="20"/>
              </w:rPr>
              <w:t>zna pojęcia: podstawa logarytmu, liczba logarytmowana;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00B050"/>
                <w:sz w:val="20"/>
                <w:szCs w:val="20"/>
              </w:rPr>
              <w:t>potrafi zamienić podstawę logarytmu;</w:t>
            </w:r>
          </w:p>
        </w:tc>
      </w:tr>
      <w:tr w:rsidR="00D165F2" w:rsidRPr="000D48D7" w:rsidTr="003E45AD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305496"/>
                <w:sz w:val="20"/>
                <w:szCs w:val="20"/>
              </w:rPr>
              <w:t>zna pojęcie logarytmu dziesiętnego;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założenia i zapisać w prostszej postaci wyrażenia zawierające logarytmy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do obliczeń logarytmu równości wynikające z definicji logarytmu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logarytmicznej;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i potrafi stosować własności logarytmów do obliczania wartości wyrażeń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logarytmiczną od innej funkcji;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podstawę logarytmu/liczbę logarytmowaną, gdy dana jest wartość logarytmu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dziedzinę funkcji logarytmicznej;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podaje odpowiednie założenia dla dla podstawy oraz liczby logarytmowanej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logarytmicznych dla różnych podstaw;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obliczyć/wyznaczyć  przybliżoną wartość logarytmu  mając przybliżenie innego logarytmu (np.  Wyznaczyć log</w:t>
            </w:r>
            <w:r w:rsidRPr="001824B9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20 wiedząc, że log</w:t>
            </w:r>
            <w:r w:rsidRPr="00C825A0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5 = p)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opisać własności funkcji logarytmicznej na podstawie jej wykresu;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</w:t>
            </w:r>
            <w:r w:rsidR="00C825A0">
              <w:rPr>
                <w:rFonts w:ascii="Calibri" w:hAnsi="Calibri" w:cs="Calibri"/>
                <w:color w:val="00B05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afi wyznaczyć wzór funkcji logarytmicznej gdy dany jest punkt należący do wykresu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przekształcać wykresy funkcji logarytmicznych</w:t>
            </w:r>
            <w:r w:rsidR="0018082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 (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OX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 S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OY</w:t>
            </w:r>
            <w:r w:rsidR="0011466B"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 S</w:t>
            </w:r>
            <w:r w:rsidR="0011466B"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0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 przesunięcie równoległe o dany wektor);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graficznie rozwiązywać równania, nierówności zastosowaniem wykresów funkcji logarytmicznych;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algebraicznie rozwiązywać proste równania oraz nierówności logarytmiczne;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tekstowe osadzone w kontekście praktycznym, w których wykorzystuje umiejętność rozwiązywania prostych równań i nierówności wykładniczych oraz logarytmicznych (lokaty bankowe, rozpad substancji promieniotwórczych itp.)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posługuje się funkcjami wykładniczymi oraz funkcjami logarytmicznymi do opisu zjawisk fizycznych, chemicznych itp.</w:t>
            </w:r>
          </w:p>
        </w:tc>
      </w:tr>
    </w:tbl>
    <w:p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653BD8">
        <w:trPr>
          <w:cantSplit/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DOPEŁNIAJĄCE</w:t>
            </w:r>
          </w:p>
        </w:tc>
      </w:tr>
      <w:tr w:rsidR="0099024F" w:rsidRPr="0099024F" w:rsidTr="00653BD8">
        <w:trPr>
          <w:cantSplit/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653BD8" w:rsidRPr="0099024F" w:rsidTr="003E45AD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C65911"/>
                <w:sz w:val="20"/>
                <w:szCs w:val="20"/>
              </w:rPr>
              <w:t>zna i potrafi stosować własności logarytmów w obliczeniach;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FF0000"/>
                <w:sz w:val="20"/>
                <w:szCs w:val="20"/>
              </w:rPr>
              <w:t>potrafi zapisywać wyrażenia z logarytmami z postaci jednego logarytmu;</w:t>
            </w:r>
          </w:p>
        </w:tc>
      </w:tr>
      <w:tr w:rsidR="00653BD8" w:rsidRPr="0099024F" w:rsidTr="003E45AD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C65911"/>
                <w:sz w:val="20"/>
                <w:szCs w:val="20"/>
              </w:rPr>
              <w:t>rozwiązywać nietypowe zadania z zastosowaniem definicji logarytmu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nietypowe zadania z zastosowaniem poznanych twierdzeń;</w:t>
            </w:r>
          </w:p>
        </w:tc>
      </w:tr>
      <w:tr w:rsidR="00653BD8" w:rsidRPr="0099024F" w:rsidTr="003E45AD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C65911"/>
                <w:sz w:val="20"/>
                <w:szCs w:val="20"/>
              </w:rPr>
              <w:t>potrafi przekształcić wyrażenia z logarytmami;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stosować twierdzenia o logarytmie iloczynu, ilorazu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i potęgi do udowadniania równości wyrażeń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udowodnić twierdzenia o logarytmach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wykorzystać funkcję logarytmiczną do rozwiązywania zadań osadzonych w kontekście praktycznym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wykorzystać własności funkcji logarytmicznej do rozwiązywania zadań z parametrem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 (o średnim stopniu trudności), w których wykorzystuje wiadomości dotyczące funkcji logarytmicznej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wykorzystać funkcję logarytmiczną do rozwiązywania zadań, o podwyższonym stopniu trudności, osadzonych w kontekście praktycznym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(o średnim stopniu trudności), w których wykorzystuje wiadomości dotyczące funkcji logarytmicznej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zaznaczyć w układzie współrzędnych zbiory punktów opisane a pomocą nierówności logarytmicznych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logarytmicznych z wartością bezwzględną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o [podwyższonym stopniu trudności stosując własności funkcji logarytmicznych oraz poznane twierdzenia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logarytmiczne wprowadzając zmienną pomocniczą;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naszkicować zbiór punktów płaszczyzny spełniających dane równanie lub nierówność z dwiema niewiadomymi, w których występują logarytmy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99024F" w:rsidRPr="0099024F" w:rsidTr="00653BD8">
        <w:tc>
          <w:tcPr>
            <w:tcW w:w="0" w:type="auto"/>
            <w:shd w:val="clear" w:color="000000" w:fill="00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9024F" w:rsidRPr="0099024F" w:rsidTr="00653BD8">
        <w:tc>
          <w:tcPr>
            <w:tcW w:w="0" w:type="auto"/>
            <w:shd w:val="clear" w:color="000000" w:fill="D6DCE4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AE6950" w:rsidRPr="0099024F" w:rsidTr="008967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potrafi wykorzystać pojęcie logarytmu w zadaniach praktycznych.</w:t>
            </w:r>
          </w:p>
        </w:tc>
      </w:tr>
      <w:tr w:rsidR="00AE6950" w:rsidRPr="0099024F" w:rsidTr="0089676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potrafi rozwiązywać zadania z kontekstem praktycznym z zastosowaniem własności logarytmów;</w:t>
            </w:r>
          </w:p>
        </w:tc>
      </w:tr>
      <w:tr w:rsidR="00AE6950" w:rsidRPr="0099024F" w:rsidTr="0089676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równania i nierówności logarytmiczne z parametrem;</w:t>
            </w:r>
          </w:p>
        </w:tc>
      </w:tr>
      <w:tr w:rsidR="00AE6950" w:rsidRPr="0099024F" w:rsidTr="0089676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udowodnić niewymierność logarytmu (np. lo</w:t>
            </w:r>
            <w:r w:rsidR="00C825A0">
              <w:rPr>
                <w:rFonts w:ascii="Calibri" w:hAnsi="Calibri" w:cs="Calibri"/>
                <w:sz w:val="20"/>
                <w:szCs w:val="20"/>
              </w:rPr>
              <w:t>g</w:t>
            </w:r>
            <w:r w:rsidRPr="00C825A0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</w:tr>
      <w:tr w:rsidR="00AE6950" w:rsidRPr="0099024F" w:rsidTr="0089676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w dowodach o podwyższonym stopniu trudności korzystać z twierdzeń i własności funkcji logarytmicznej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AE6950" w:rsidRDefault="00AE6950">
      <w:pPr>
        <w:rPr>
          <w:b/>
          <w:bCs/>
          <w:color w:val="002060"/>
          <w:sz w:val="20"/>
          <w:szCs w:val="20"/>
        </w:rPr>
      </w:pPr>
    </w:p>
    <w:p w:rsidR="00174DDB" w:rsidRDefault="00174DDB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AE6950" w:rsidRDefault="00AE6950">
      <w:pPr>
        <w:rPr>
          <w:b/>
          <w:bCs/>
          <w:color w:val="002060"/>
          <w:sz w:val="20"/>
          <w:szCs w:val="20"/>
        </w:rPr>
      </w:pPr>
    </w:p>
    <w:p w:rsidR="001F0EA5" w:rsidRPr="0051162B" w:rsidRDefault="00AE695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ELEMENTY STATYSTYKI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Sposoby prezentowania danych zebranych w wyniku obserwacji statystycznej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Średnia z próby</w:t>
            </w:r>
          </w:p>
        </w:tc>
      </w:tr>
      <w:tr w:rsidR="00026E45" w:rsidRPr="006E7D5D" w:rsidTr="009C754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Mediana z próby i moda z próby. Skala centylowa</w:t>
            </w:r>
          </w:p>
        </w:tc>
      </w:tr>
      <w:tr w:rsidR="00026E45" w:rsidRPr="006E7D5D" w:rsidTr="009C754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Wariancja i odchylenie standardowe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AE6950">
        <w:trPr>
          <w:cantSplit/>
          <w:tblHeader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:rsidTr="00AE6950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305496"/>
                <w:sz w:val="20"/>
                <w:szCs w:val="20"/>
              </w:rPr>
              <w:t>zna podstawowe pojęcia statystyki opisowej: obserwacja statystyczna, populacja generalna, próba, liczebność próby, cecha statystyczna (mierzalna, niemierzalna)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interp</w:t>
            </w:r>
            <w:r w:rsidR="002148F1">
              <w:rPr>
                <w:rFonts w:ascii="Calibri" w:eastAsia="Symbol" w:hAnsi="Calibri" w:cs="Symbol"/>
                <w:color w:val="00B050"/>
                <w:sz w:val="20"/>
                <w:szCs w:val="20"/>
              </w:rPr>
              <w:t>r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etować dane statystyczne odczytane z tabel, diagramów i wykresów</w:t>
            </w:r>
          </w:p>
        </w:tc>
      </w:tr>
      <w:tr w:rsidR="00AE6950" w:rsidRPr="0099024F" w:rsidTr="009C7545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pojęcie skali centylowej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określać zależności między odczytanymi danymi;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i rozumie pojęcie średniej arytmetycznej, średniej ważonej, 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wariancji i odchylenia standardowego,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interpretować średnią arytmetyczną, średnią ważoną, medianę </w:t>
            </w:r>
            <w:r w:rsidRPr="009C7545">
              <w:rPr>
                <w:rFonts w:ascii="Calibri" w:eastAsia="Symbol" w:hAnsi="Calibri" w:cs="Symbol"/>
                <w:color w:val="00B050"/>
                <w:sz w:val="20"/>
                <w:szCs w:val="20"/>
                <w:shd w:val="clear" w:color="auto" w:fill="D9D9D9" w:themeFill="background1" w:themeFillShade="D9"/>
              </w:rPr>
              <w:t>i odchylenie standardowe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odczytywać dane statystyczne z tabel, diagramów</w:t>
            </w:r>
            <w:r w:rsidR="002148F1">
              <w:rPr>
                <w:rFonts w:ascii="Calibri" w:eastAsia="Symbol" w:hAnsi="Calibri" w:cs="Symbol"/>
                <w:color w:val="305496"/>
                <w:sz w:val="20"/>
                <w:szCs w:val="20"/>
              </w:rPr>
              <w:br/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i wykresów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średnią arytmetyczną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przedstawiać dane empiryczne w postaci tabel, diagramów i wykresów;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medianę i dominantę</w:t>
            </w:r>
          </w:p>
        </w:tc>
      </w:tr>
      <w:tr w:rsidR="00AE6950" w:rsidRPr="0099024F" w:rsidTr="009C7545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interpretować wymienione wyżej parametry statystyczne.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korzystać ze skali centylowej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policzyć średnią arytmetyczną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danych przedstawionych diagramami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wyznacza medianę i dominantę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pogrupowanych danych</w:t>
            </w:r>
          </w:p>
        </w:tc>
      </w:tr>
      <w:tr w:rsidR="00AE6950" w:rsidRPr="0099024F" w:rsidTr="009C7545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wariancję i odchylenie standardowe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 wariancję i odchylenie standardowe zestawu danych przedstawionych różnymi sposobami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średnią ważoną zestawu liczb z podanymi wagami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w zadaniach średnią ważoną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2148F1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:rsidTr="002148F1">
        <w:trPr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rozwiązywać zadania ze statystyki opisowej o średnim stopniu trudności.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stosować wiadomości ze statystyki w różnych nietypowych zadaniach zadaniach</w:t>
            </w: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oblicza średnią arytmetyczną danych przedstawionych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niestandardowy sposób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wykorzystuje w zadaniach o podwyższonym stopniu trudności pojęcia statystyczne</w:t>
            </w:r>
          </w:p>
        </w:tc>
      </w:tr>
      <w:tr w:rsidR="002148F1" w:rsidRPr="008516A6" w:rsidTr="009C754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oblicza odchylenie standardowe i wariancję danych przedstawionych w niestandardowy sposób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bookmarkStart w:id="3" w:name="_Hlk176265472"/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rozwiązuje nietypowe zadania w których występuje średnia </w:t>
            </w:r>
            <w:bookmarkEnd w:id="3"/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ważona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2148F1" w:rsidRPr="008516A6" w:rsidTr="009C754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potrafi interpretować dane statystyczne, ze szczególnym uwzględnieniem miar rozrzutu oraz skali centylowej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3443E8" w:rsidRPr="0051162B" w:rsidRDefault="002148F1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RACHUNEK PRAWDOPODOBIEŃSTWA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Doświadczenie losowe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Zdarzenia. Działania na zdarzeniach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prawdopodobieństwa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Prawdopodobieństwo klasyczne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Doświadczenie losowe wieloetapowe</w:t>
            </w:r>
          </w:p>
        </w:tc>
      </w:tr>
      <w:tr w:rsidR="008F5363" w:rsidRPr="003758FA" w:rsidTr="009C754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F5363" w:rsidRDefault="00C825A0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8F5363" w:rsidRDefault="008F5363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Zmienna losowa. Wartość oczekiwana zmiennej losowej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4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4"/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8F5363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8516A6" w:rsidRPr="008516A6" w:rsidTr="008F5363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terminy: doświadczenie losowe, zdarzenie elementarne, przestrzeń zdarzeń elementarnych, zdarzenie, zdarzenie pewne zdarzenie niemożliwe, zdarzenia wykluczające się;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sumę, iloczyn i różnicę zdarzeń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zbiór wszystkich zdarzeń danego doświadczenia losowego, obliczyć jego moc oraz obliczyć liczbę zdarzeń elementarnych sprzyjających danemu zdarzeniu;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twierdzenie o prawdopodobieństwie sumy zdarzeń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zdarzenia niemożliwego i pewnego; potrafi podać przykłady takich zdarzeń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zdarzenia się wykluczają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stosować klasyczną definicję prawdopodobieństwa w rozwiązaniach zadań;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własności prawdopodobieństwa i umie je stosować w rozwiązaniach prostych zadań;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aksjomatyczną definicję prawdopodobieństwa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proste zadania za pomocą drzewa stochastycznego;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umie obliczyć prawdopodobieństwo zdarzenia przeciwnego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regułę mnożenia, dodawania, permutacje i kombinacje do obliczania pra</w:t>
            </w:r>
            <w:r w:rsidR="00C0516D">
              <w:rPr>
                <w:rFonts w:ascii="Calibri" w:hAnsi="Calibri" w:cs="Calibri"/>
                <w:color w:val="00B050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dopodobieństwa zdarzeń w prostych zadaniach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pary zdarzeń przeciwnych i wykluczających się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podać rozkład zmiennej losowej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47"/>
        <w:gridCol w:w="5326"/>
      </w:tblGrid>
      <w:tr w:rsidR="00A93E20" w:rsidRPr="00A93E20" w:rsidTr="00543793">
        <w:trPr>
          <w:cantSplit/>
          <w:trHeight w:val="300"/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543793">
        <w:trPr>
          <w:cantSplit/>
          <w:trHeight w:val="300"/>
          <w:tblHeader/>
        </w:trPr>
        <w:tc>
          <w:tcPr>
            <w:tcW w:w="5447" w:type="dxa"/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26" w:type="dxa"/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6C7D4B" w:rsidRPr="00A93E20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umie udowodnić własności prawdopodobieństwa;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własności prawdopodobieństwa w dowodach twierdzeń</w:t>
            </w:r>
          </w:p>
        </w:tc>
      </w:tr>
      <w:tr w:rsidR="006C7D4B" w:rsidRPr="00A93E20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umie stosować własności prawdopodobieństwa do rozwiązywania zadań „teoretycznych”;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prawdopodobieńs</w:t>
            </w:r>
            <w:r w:rsidR="00A92081">
              <w:rPr>
                <w:rFonts w:ascii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wo w doświadczeniach wieloetapowych</w:t>
            </w:r>
          </w:p>
        </w:tc>
      </w:tr>
      <w:tr w:rsidR="006C7D4B" w:rsidRPr="00A93E20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rachunku prawd</w:t>
            </w:r>
            <w:r w:rsidR="00A92081">
              <w:rPr>
                <w:rFonts w:ascii="Calibri" w:hAnsi="Calibri" w:cs="Calibri"/>
                <w:color w:val="C65911"/>
                <w:sz w:val="20"/>
                <w:szCs w:val="20"/>
              </w:rPr>
              <w:t>opodo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bieństwa o średnim stopniu trudności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z rachunku prawdopodobieństwa o podwyższonym stopniu trudności</w:t>
            </w:r>
          </w:p>
        </w:tc>
      </w:tr>
      <w:tr w:rsidR="006C7D4B" w:rsidRPr="00A93E20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Wykorzystuje regułę mnożenia, dodawania, permutacje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i kombinacje do obliczania pra</w:t>
            </w:r>
            <w:r w:rsidR="00A92081">
              <w:rPr>
                <w:rFonts w:ascii="Calibri" w:hAnsi="Calibri" w:cs="Calibri"/>
                <w:color w:val="C6591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dopodobieństwa zdarzeń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zadaniach o średnim stopniu trudności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wykorzystujące własności prawdopodobieństwa i poznane wzory</w:t>
            </w:r>
          </w:p>
        </w:tc>
      </w:tr>
      <w:tr w:rsidR="006C7D4B" w:rsidRPr="00A93E20" w:rsidTr="009C7545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oblicza wartość oczekiwaną zmiennej losowej i potrafi określić, czy gra jest sprawiedliwa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6C7D4B" w:rsidRDefault="006C7D4B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2148F1" w:rsidRPr="008516A6" w:rsidTr="00CA317C">
        <w:trPr>
          <w:cantSplit/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2148F1" w:rsidRPr="008516A6" w:rsidRDefault="002148F1" w:rsidP="0089676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2148F1" w:rsidRPr="008516A6" w:rsidTr="00CA317C">
        <w:trPr>
          <w:cantSplit/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2148F1" w:rsidRPr="008516A6" w:rsidRDefault="002148F1" w:rsidP="0089676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C7D4B" w:rsidRPr="008516A6" w:rsidTr="0089676D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8516A6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nietypowe zadania dotyczące kombinatoryki i rachunku prawdopodobieństwa.</w:t>
            </w:r>
          </w:p>
        </w:tc>
      </w:tr>
    </w:tbl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26264C" w:rsidRPr="0051162B" w:rsidRDefault="00A93E2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GEOMETRIA </w:t>
      </w:r>
      <w:r w:rsidR="00CA317C">
        <w:rPr>
          <w:b/>
          <w:bCs/>
          <w:color w:val="002060"/>
          <w:sz w:val="28"/>
          <w:szCs w:val="28"/>
        </w:rPr>
        <w:t>PRZESTRZENNA. WIELOŚCIANY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Płaszczyzny i proste w przestrzeni. Równoległość prostych i płaszczyzn. Proste skośne.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Prostopadłość prostych i płaszczyzn w przestrzeni.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Rzut równoległy na płaszczyznę. Rysowanie figur płaskich w rzucie równoległym na płaszczyznę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Kąt między prostą a płaszczyzną. Kąt dwuścienny.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Graniastosłupy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Ostrosłupy</w:t>
            </w:r>
          </w:p>
        </w:tc>
      </w:tr>
      <w:tr w:rsidR="00CA317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CA317C" w:rsidRDefault="00CA317C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CA317C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Siatka wielościanu. Pole powierzchni wielościanu</w:t>
            </w:r>
          </w:p>
        </w:tc>
      </w:tr>
      <w:tr w:rsidR="009102D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9102D5" w:rsidRDefault="009102D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102D5" w:rsidRDefault="009102D5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Objętość figury przestrzennej. Objętość wielościanów</w:t>
            </w:r>
          </w:p>
        </w:tc>
      </w:tr>
      <w:tr w:rsidR="009102D5" w:rsidRPr="006E7D5D" w:rsidTr="009C754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102D5" w:rsidRDefault="009102D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102D5" w:rsidRDefault="009102D5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Przekroje wielościanów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9102D5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3E20" w:rsidRPr="00A93E20" w:rsidTr="009102D5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płaszczyzn w przestrzeni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istnieje graniastosłup o danej liczbie krawędzi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prostej i płaszczyzny w przestrzeni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bocznej i pole powierzchni całkowitej graniastosłupa prostego oraz ostrosłupa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prostych w przestrzeni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graniastosłupa oraz ostrosłupa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rysuje figury płaskie w rzucie równoległym na płaszczyznę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oblicza długości przekątnych graniastosłupa prostego również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>z wykorzystaniem wcześniej poznanych twierdzeń z planimetrii oraz trygonometrii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prostej i płaszczyzny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prostego oraz ostrosłupa prawidłowego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dwóch płaszczyzn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pochyłego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odległości punktu od płaszczyzny oraz odległości prostej równoległej do płaszczyzny od tej płaszczyzny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ostrosłupa mając daną jego siatkę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zna i potrafi stosować twierdzenie o trzech prostych prostopadłych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rozpoznać w graniastosłupach i ostrosłupach kąt między ścianami oraz obliczyć miarę tego kąta;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rozumie pojęcie kąta między prostą a płaszczyzną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kąta dwuściennego, poprawnie posługuje się terminem “kąt liniowy kąta dwuściennego”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graniastosłupa; umie wskazać: podstawy, ściany boczne, krawędzie podstaw, krawędzie boczne, wysokość graniastosłupa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graniastosłupów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graniastosłupów prostych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graniastosłupa prostego, mając dany jej fragment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ostrosłupa prostego, mając dany jej fragment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ostrosłupa; umie wskazać: podstawę, ściany boczne, krawędzie podstaw, krawędzie boczne, wysokość ostrosłupa;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ostrosłupów;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ostrosłupów prostych;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0F2F18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(np. krawędziami, krawędziami i przekątnymi itp.) oraz obliczyć miary tych kątów;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i płaszczyznami (kąty między krawędziami i ścianami, przekątnymi i ścianami) oraz obliczyć miary tych kątów;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0F2F18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18" w:rsidRDefault="00955350" w:rsidP="000276E6">
            <w:pPr>
              <w:spacing w:before="60" w:after="60" w:line="240" w:lineRule="auto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graniastosłupów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18" w:rsidRDefault="000F2F18" w:rsidP="000276E6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</w:tr>
      <w:tr w:rsidR="00955350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50" w:rsidRPr="00955350" w:rsidRDefault="00955350" w:rsidP="000276E6">
            <w:pPr>
              <w:spacing w:before="60" w:after="60" w:line="240" w:lineRule="auto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ostrosłupów</w:t>
            </w:r>
            <w:r w:rsidR="002D26F1"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w prostych, typowych zadaniach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50" w:rsidRDefault="00955350" w:rsidP="000276E6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</w:tr>
    </w:tbl>
    <w:p w:rsidR="00A93E20" w:rsidRDefault="00A93E2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9102D5">
        <w:trPr>
          <w:cantSplit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9102D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przeprowadza wnioskowania dotycząc położenia prostych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przestrzeni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prostej prostopadłej do płaszczyzny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uzasadniania prostopadłości prostych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graniastosłupa prostego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rozwiązywania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ostrosłupa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rozwiązuje zadania dotyczące miar kąta między prostą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a płaszczyzną, również z wykorzystaniem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trzech prostych prostopadłych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dotyczące miary kąta dwuściennego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:rsidTr="0089676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oblicza objętości graniastosłupów oraz ostrosłupów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z wykorzystaniem wcześniej poznanych twierdzeń z planimetrii oraz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:rsidTr="00BA6D2F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wyznaczać przekroje wielościanów;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:rsidTr="00BA6D2F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obliczyć pole powierzchni przekroju graniastosłupa  daną płaszczyzną  (graniastosłupa, ostrosłupa)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dotyczące brył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o średnim stopniu trudności, z wykorzystaniem wcześniej poznanych twierdzeń z planimetrii oraz trygonometrii;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476730" w:rsidRDefault="0047673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76730" w:rsidRPr="000276E6" w:rsidTr="009102D5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730" w:rsidRPr="000276E6" w:rsidRDefault="000276E6" w:rsidP="000276E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276E6">
              <w:rPr>
                <w:rFonts w:ascii="Calibri" w:hAnsi="Calibri" w:cs="Calibri"/>
                <w:sz w:val="20"/>
                <w:szCs w:val="20"/>
              </w:rPr>
              <w:t>potrafi rozwiązywać nietypowe zadania geometryczne dotyczące brył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26264C" w:rsidRPr="0051162B" w:rsidRDefault="000276E6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PRZESTRZENNA. BRYŁY OBROTOWE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Walec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Stożek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Kula i sfera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Bryły obrotowe – zadania różne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</w:t>
            </w:r>
            <w:r w:rsidR="00C95BE5">
              <w:rPr>
                <w:color w:val="002060"/>
                <w:sz w:val="20"/>
                <w:szCs w:val="20"/>
              </w:rPr>
              <w:t>odobieństwo</w:t>
            </w:r>
            <w:r>
              <w:rPr>
                <w:color w:val="002060"/>
                <w:sz w:val="20"/>
                <w:szCs w:val="20"/>
              </w:rPr>
              <w:t xml:space="preserve"> figur w przestrzeni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8525D" w:rsidRPr="0048525D" w:rsidTr="000D5BA0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8525D" w:rsidRPr="0048525D" w:rsidTr="000D5BA0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walca; umie wskazać: podstawy, powierzchnię boczną, tworzącą, oś obrotu walca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rozwiązywać proste zadania geometryczne dotyczące brył, w tym z wykorzystaniem trygonometrii i poznanych wcześniej twierdzeń z geometrii płaskiej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określenie “przekrój osiowy walca”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dotyczące rozwinięcia powierzchni bocznej walca oraz powierzchni bocznej stożka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stożka; umie wskazać: podstawę, powierzchnię boczną, tworzącą, wysokość, oś obrotu stożka;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i objętości brył obrotowych (stożka, kuli, walca)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rozpoznaje w walcach i stożkach kąt między odcinkami oraz kąt między odcinkami i płaszczyznami (np. kąt rozwarcia stożka, kąt między tworzącą a podstawą) oraz oblicza miary tych kątów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skalę podobieństwa brył podobnych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kuli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stosować twierdzenie o objętości brył podobnych 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  <w:t>w rozwiązaniach prostych zadań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objętości bryły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brył obrotowych (stożka, kuli, walca)</w:t>
            </w:r>
            <w:r w:rsidR="005D43D9"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w prostych, typowych zadaniach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8525D" w:rsidRPr="0048525D" w:rsidTr="000D5BA0">
        <w:trPr>
          <w:cantSplit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8525D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D43D9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określa, jaką figurą jest dany przekrój sfery płaszczyzną;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zadania, w których jedna bryła jest wpisana w drugą lub opisana na niej (ostrosłup wpisany w kulę; kula wpisana w stożek, ostrosłup opisany na kuli, walec wpisany w stożek itp.);</w:t>
            </w:r>
          </w:p>
        </w:tc>
      </w:tr>
      <w:tr w:rsidR="005D43D9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obliczyć pole powierzchni przekroju bryły daną płaszczyzną  (walca, stożka, kuli);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dotyczące brył obrotowych (stożka, kuli, walca)</w:t>
            </w:r>
          </w:p>
        </w:tc>
      </w:tr>
      <w:tr w:rsidR="005D43D9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5AD" w:rsidRDefault="005D43D9" w:rsidP="005D43D9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stosować twierdzenie o objętości brył podobnych </w:t>
            </w:r>
          </w:p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rozwiązaniach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D43D9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5AD" w:rsidRDefault="005D43D9" w:rsidP="005D43D9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dotyczące brył </w:t>
            </w:r>
          </w:p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 średnim stopniu trudności, z wykorzystaniem wcześniej poznanych twierdzeń z planimetrii oraz trygonometrii;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3"/>
      </w:tblGrid>
      <w:tr w:rsidR="0048525D" w:rsidTr="000D5BA0">
        <w:trPr>
          <w:cantSplit/>
          <w:tblHeader/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48525D" w:rsidTr="000D5BA0">
        <w:trPr>
          <w:cantSplit/>
          <w:tblHeader/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0D5BA0" w:rsidTr="000D5BA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A0" w:rsidRDefault="000D5BA0" w:rsidP="000D5BA0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t>potrafi rozwiązywać nietypowe zadania geometryczne dotyczące brył</w:t>
            </w:r>
          </w:p>
        </w:tc>
      </w:tr>
      <w:tr w:rsidR="000D5BA0" w:rsidTr="000D5BA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Default="000D5BA0" w:rsidP="000D5BA0">
            <w:pPr>
              <w:spacing w:before="60" w:after="6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wyprowadza wzory na objętość i pole powierzchni nietypowych brył, np. </w:t>
            </w:r>
            <w:r w:rsidR="007451C6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tożka ściętego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sectPr w:rsidR="0048525D" w:rsidSect="00212C99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82" w:rsidRDefault="007A4F82" w:rsidP="00016120">
      <w:pPr>
        <w:spacing w:after="0" w:line="240" w:lineRule="auto"/>
      </w:pPr>
      <w:r>
        <w:separator/>
      </w:r>
    </w:p>
  </w:endnote>
  <w:endnote w:type="continuationSeparator" w:id="0">
    <w:p w:rsidR="007A4F82" w:rsidRDefault="007A4F82" w:rsidP="0001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120" w:rsidRDefault="00016120" w:rsidP="0001612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457325" cy="447675"/>
          <wp:effectExtent l="0" t="0" r="9525" b="9525"/>
          <wp:docPr id="7" name="Obraz 7" descr="OE_logo_low_r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E_logo_low_res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82" w:rsidRDefault="007A4F82" w:rsidP="00016120">
      <w:pPr>
        <w:spacing w:after="0" w:line="240" w:lineRule="auto"/>
      </w:pPr>
      <w:r>
        <w:separator/>
      </w:r>
    </w:p>
  </w:footnote>
  <w:footnote w:type="continuationSeparator" w:id="0">
    <w:p w:rsidR="007A4F82" w:rsidRDefault="007A4F82" w:rsidP="0001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D4"/>
    <w:rsid w:val="00004C62"/>
    <w:rsid w:val="00010D0E"/>
    <w:rsid w:val="0001364E"/>
    <w:rsid w:val="00016120"/>
    <w:rsid w:val="000165B9"/>
    <w:rsid w:val="00026E45"/>
    <w:rsid w:val="000276E6"/>
    <w:rsid w:val="00056BFA"/>
    <w:rsid w:val="000842B3"/>
    <w:rsid w:val="00085A56"/>
    <w:rsid w:val="000A1A12"/>
    <w:rsid w:val="000A48C5"/>
    <w:rsid w:val="000D48D7"/>
    <w:rsid w:val="000D5BA0"/>
    <w:rsid w:val="000E0AF3"/>
    <w:rsid w:val="000F1C77"/>
    <w:rsid w:val="000F2F18"/>
    <w:rsid w:val="001040F9"/>
    <w:rsid w:val="0011466B"/>
    <w:rsid w:val="00121D3E"/>
    <w:rsid w:val="00152F7A"/>
    <w:rsid w:val="00174DDB"/>
    <w:rsid w:val="001778FF"/>
    <w:rsid w:val="0018082A"/>
    <w:rsid w:val="001824B9"/>
    <w:rsid w:val="00183DD7"/>
    <w:rsid w:val="001B1FF0"/>
    <w:rsid w:val="001B2ABD"/>
    <w:rsid w:val="001B6C1F"/>
    <w:rsid w:val="001C222B"/>
    <w:rsid w:val="001D5395"/>
    <w:rsid w:val="001D6CC9"/>
    <w:rsid w:val="001F0EA5"/>
    <w:rsid w:val="00212C99"/>
    <w:rsid w:val="002148F1"/>
    <w:rsid w:val="00227B85"/>
    <w:rsid w:val="002422CC"/>
    <w:rsid w:val="00242C3A"/>
    <w:rsid w:val="0026264C"/>
    <w:rsid w:val="00267FF4"/>
    <w:rsid w:val="002A2C6F"/>
    <w:rsid w:val="002A755F"/>
    <w:rsid w:val="002D26F1"/>
    <w:rsid w:val="002E2C52"/>
    <w:rsid w:val="00303078"/>
    <w:rsid w:val="00313FF6"/>
    <w:rsid w:val="003443E8"/>
    <w:rsid w:val="003448DA"/>
    <w:rsid w:val="003758FA"/>
    <w:rsid w:val="00391C0F"/>
    <w:rsid w:val="0039213B"/>
    <w:rsid w:val="003E45AD"/>
    <w:rsid w:val="00403EBC"/>
    <w:rsid w:val="0042442C"/>
    <w:rsid w:val="00450BF1"/>
    <w:rsid w:val="00476730"/>
    <w:rsid w:val="0048525D"/>
    <w:rsid w:val="00492296"/>
    <w:rsid w:val="004A65EC"/>
    <w:rsid w:val="004B5973"/>
    <w:rsid w:val="004E547D"/>
    <w:rsid w:val="004F503F"/>
    <w:rsid w:val="00501978"/>
    <w:rsid w:val="0051066C"/>
    <w:rsid w:val="0051162B"/>
    <w:rsid w:val="005324EB"/>
    <w:rsid w:val="00543793"/>
    <w:rsid w:val="0059743C"/>
    <w:rsid w:val="005A2709"/>
    <w:rsid w:val="005D43D9"/>
    <w:rsid w:val="005E1E9A"/>
    <w:rsid w:val="006162D4"/>
    <w:rsid w:val="00616F2D"/>
    <w:rsid w:val="006330B8"/>
    <w:rsid w:val="00637949"/>
    <w:rsid w:val="00653BD8"/>
    <w:rsid w:val="006559EE"/>
    <w:rsid w:val="00676FE1"/>
    <w:rsid w:val="00694999"/>
    <w:rsid w:val="00695D61"/>
    <w:rsid w:val="006A6A80"/>
    <w:rsid w:val="006C7D4B"/>
    <w:rsid w:val="007350CC"/>
    <w:rsid w:val="007451C6"/>
    <w:rsid w:val="007478FA"/>
    <w:rsid w:val="00747C68"/>
    <w:rsid w:val="00795301"/>
    <w:rsid w:val="007A4F82"/>
    <w:rsid w:val="007B7AD5"/>
    <w:rsid w:val="007F47EF"/>
    <w:rsid w:val="00804585"/>
    <w:rsid w:val="0080754E"/>
    <w:rsid w:val="008516A6"/>
    <w:rsid w:val="00877024"/>
    <w:rsid w:val="0089676D"/>
    <w:rsid w:val="008F46A9"/>
    <w:rsid w:val="008F5363"/>
    <w:rsid w:val="008F6CDF"/>
    <w:rsid w:val="009064BA"/>
    <w:rsid w:val="009102D5"/>
    <w:rsid w:val="00927E3B"/>
    <w:rsid w:val="00955350"/>
    <w:rsid w:val="0099024F"/>
    <w:rsid w:val="009C6252"/>
    <w:rsid w:val="009C7545"/>
    <w:rsid w:val="009E6DDC"/>
    <w:rsid w:val="009F0E75"/>
    <w:rsid w:val="009F1EB8"/>
    <w:rsid w:val="00A518DB"/>
    <w:rsid w:val="00A73DF3"/>
    <w:rsid w:val="00A80BD4"/>
    <w:rsid w:val="00A92081"/>
    <w:rsid w:val="00A93E20"/>
    <w:rsid w:val="00A962DF"/>
    <w:rsid w:val="00AA1658"/>
    <w:rsid w:val="00AB6A58"/>
    <w:rsid w:val="00AE2DFA"/>
    <w:rsid w:val="00AE6950"/>
    <w:rsid w:val="00AF376D"/>
    <w:rsid w:val="00B93C2A"/>
    <w:rsid w:val="00B97401"/>
    <w:rsid w:val="00BA6D2F"/>
    <w:rsid w:val="00C027D4"/>
    <w:rsid w:val="00C0516D"/>
    <w:rsid w:val="00C1072D"/>
    <w:rsid w:val="00C31617"/>
    <w:rsid w:val="00C41280"/>
    <w:rsid w:val="00C825A0"/>
    <w:rsid w:val="00C95BE5"/>
    <w:rsid w:val="00CA317C"/>
    <w:rsid w:val="00CB2DA0"/>
    <w:rsid w:val="00CF064C"/>
    <w:rsid w:val="00CF0975"/>
    <w:rsid w:val="00D14B08"/>
    <w:rsid w:val="00D165F2"/>
    <w:rsid w:val="00D65735"/>
    <w:rsid w:val="00DC3C93"/>
    <w:rsid w:val="00E07DA9"/>
    <w:rsid w:val="00E14665"/>
    <w:rsid w:val="00E21955"/>
    <w:rsid w:val="00E72768"/>
    <w:rsid w:val="00E90CC3"/>
    <w:rsid w:val="00EB6CAD"/>
    <w:rsid w:val="00EF01D6"/>
    <w:rsid w:val="00F445C7"/>
    <w:rsid w:val="00F46B86"/>
    <w:rsid w:val="00F84E49"/>
    <w:rsid w:val="00FE3A55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120"/>
  </w:style>
  <w:style w:type="paragraph" w:styleId="Stopka">
    <w:name w:val="footer"/>
    <w:basedOn w:val="Normalny"/>
    <w:link w:val="StopkaZnak"/>
    <w:uiPriority w:val="99"/>
    <w:unhideWhenUsed/>
    <w:rsid w:val="0001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B714-B129-4314-8FC9-81D1E694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2881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</Company>
  <LinksUpToDate>false</LinksUpToDate>
  <CharactersWithSpaces>20133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Justyna Pilipczuk</cp:lastModifiedBy>
  <cp:revision>4</cp:revision>
  <cp:lastPrinted>2022-08-28T09:34:00Z</cp:lastPrinted>
  <dcterms:created xsi:type="dcterms:W3CDTF">2024-09-03T12:59:00Z</dcterms:created>
  <dcterms:modified xsi:type="dcterms:W3CDTF">2025-02-05T21:09:00Z</dcterms:modified>
</cp:coreProperties>
</file>